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Disease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Instructions: Use Units 17, 23, 29 and 37 of the “Modern Livestock and Poultry”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textbook or the Internet to complete.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Cattle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Symptoms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Prevention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Blackleg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Leptospirosis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Brucellosis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Shipping Fever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Mastitis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Calf Enteritis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Pinkeye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Swine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Symptoms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Prevention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Cholera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Swine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Dysentery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Mycoplasmal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Pneumonia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PRRSr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SMEDI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Transmissible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Gastroenteritis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Sheep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Symptoms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Prevention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Enterotoxemia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Scrapie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Sore Mouth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Tetanus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Pregnancy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Toxemia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Foot 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Poultry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Symptoms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Prevention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Aspergillosis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Avian Influenza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Fowl Pox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Blackhead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Coccidiosis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Erysipelas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Newcastle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